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BD" w:rsidRDefault="003D01BD" w:rsidP="003D01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„W</w:t>
      </w:r>
      <w:r w:rsidR="00DB70F3" w:rsidRPr="00DB70F3">
        <w:rPr>
          <w:rFonts w:asciiTheme="minorHAnsi" w:hAnsiTheme="minorHAnsi" w:cstheme="minorHAnsi"/>
          <w:b/>
          <w:sz w:val="22"/>
          <w:szCs w:val="22"/>
        </w:rPr>
        <w:t xml:space="preserve">drożenie oprogramowania </w:t>
      </w:r>
      <w:r>
        <w:rPr>
          <w:rFonts w:asciiTheme="minorHAnsi" w:hAnsiTheme="minorHAnsi" w:cstheme="minorHAnsi"/>
          <w:b/>
          <w:sz w:val="22"/>
          <w:szCs w:val="22"/>
        </w:rPr>
        <w:t xml:space="preserve">do usługi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teleopieki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wraz z urządzeniami dla uczestników projektu </w:t>
      </w:r>
    </w:p>
    <w:p w:rsidR="001F60E7" w:rsidRPr="001F60E7" w:rsidRDefault="003D01BD" w:rsidP="001F60E7">
      <w:pP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pn. „CUŚ DOBREGO!”</w:t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  <w:t xml:space="preserve"> </w:t>
      </w:r>
      <w:r w:rsidR="00DB70F3" w:rsidRPr="00DB70F3">
        <w:rPr>
          <w:rFonts w:asciiTheme="minorHAnsi" w:hAnsiTheme="minorHAnsi" w:cstheme="minorHAnsi"/>
        </w:rPr>
        <w:tab/>
      </w:r>
      <w:r w:rsidR="00DB70F3" w:rsidRPr="00DB70F3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>
        <w:rPr>
          <w:rFonts w:asciiTheme="minorHAnsi" w:hAnsiTheme="minorHAnsi" w:cstheme="minorHAnsi"/>
        </w:rPr>
        <w:tab/>
      </w:r>
      <w:r w:rsidR="001F60E7" w:rsidRPr="001F60E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Załącznik Nr </w:t>
      </w:r>
      <w:r w:rsidR="001F60E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F60E7" w:rsidRPr="001F60E7" w:rsidTr="00EF32B3">
        <w:trPr>
          <w:trHeight w:val="1874"/>
        </w:trPr>
        <w:tc>
          <w:tcPr>
            <w:tcW w:w="4606" w:type="dxa"/>
            <w:shd w:val="clear" w:color="auto" w:fill="auto"/>
            <w:vAlign w:val="bottom"/>
          </w:tcPr>
          <w:p w:rsidR="001F60E7" w:rsidRPr="001F60E7" w:rsidRDefault="001F60E7" w:rsidP="001F60E7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F60E7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1F60E7" w:rsidRPr="001F60E7" w:rsidRDefault="001F60E7" w:rsidP="001F60E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1F60E7" w:rsidRPr="001F60E7" w:rsidRDefault="001F60E7" w:rsidP="001F60E7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  <w:r w:rsidRPr="001F60E7"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  <w:t>(pieczęć Dostawcy/Dostawców)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F60E7" w:rsidRPr="001F60E7" w:rsidRDefault="001F60E7" w:rsidP="001F60E7">
            <w:pPr>
              <w:widowControl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1F60E7" w:rsidRPr="001F60E7" w:rsidRDefault="001F60E7" w:rsidP="001F60E7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F60E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Wymagania techniczn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o-użytkowe</w:t>
            </w:r>
          </w:p>
        </w:tc>
      </w:tr>
    </w:tbl>
    <w:p w:rsidR="001F60E7" w:rsidRPr="001F60E7" w:rsidRDefault="001F60E7" w:rsidP="001F60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268"/>
        <w:gridCol w:w="2410"/>
        <w:gridCol w:w="142"/>
        <w:gridCol w:w="1414"/>
        <w:gridCol w:w="2303"/>
      </w:tblGrid>
      <w:tr w:rsidR="001F60E7" w:rsidRPr="001F60E7" w:rsidTr="00EF32B3">
        <w:tc>
          <w:tcPr>
            <w:tcW w:w="675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Opis parametru / warunku</w:t>
            </w:r>
          </w:p>
        </w:tc>
        <w:tc>
          <w:tcPr>
            <w:tcW w:w="1414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Wymaganie</w:t>
            </w:r>
          </w:p>
        </w:tc>
        <w:tc>
          <w:tcPr>
            <w:tcW w:w="2303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Odpowiedź Dostawcy</w:t>
            </w:r>
          </w:p>
        </w:tc>
      </w:tr>
      <w:tr w:rsidR="001F60E7" w:rsidRPr="001F60E7" w:rsidTr="00EF32B3">
        <w:tc>
          <w:tcPr>
            <w:tcW w:w="9212" w:type="dxa"/>
            <w:gridSpan w:val="6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WYMAGANIA OGÓLNE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SERWERA</w:t>
            </w:r>
          </w:p>
        </w:tc>
      </w:tr>
      <w:tr w:rsidR="001F60E7" w:rsidRPr="001F60E7" w:rsidTr="001F60E7">
        <w:tc>
          <w:tcPr>
            <w:tcW w:w="675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Producent -Firma</w:t>
            </w:r>
          </w:p>
        </w:tc>
        <w:tc>
          <w:tcPr>
            <w:tcW w:w="2410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Podać</w:t>
            </w:r>
          </w:p>
        </w:tc>
        <w:tc>
          <w:tcPr>
            <w:tcW w:w="3859" w:type="dxa"/>
            <w:gridSpan w:val="3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F60E7" w:rsidRPr="001F60E7" w:rsidTr="001F60E7">
        <w:tc>
          <w:tcPr>
            <w:tcW w:w="675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Nazwa/ typ </w:t>
            </w:r>
          </w:p>
        </w:tc>
        <w:tc>
          <w:tcPr>
            <w:tcW w:w="2410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Podać</w:t>
            </w:r>
          </w:p>
        </w:tc>
        <w:tc>
          <w:tcPr>
            <w:tcW w:w="3859" w:type="dxa"/>
            <w:gridSpan w:val="3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F60E7" w:rsidRPr="001F60E7" w:rsidTr="001F60E7">
        <w:tc>
          <w:tcPr>
            <w:tcW w:w="675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Kraj pochodzenia</w:t>
            </w:r>
          </w:p>
        </w:tc>
        <w:tc>
          <w:tcPr>
            <w:tcW w:w="2410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Podać</w:t>
            </w:r>
          </w:p>
        </w:tc>
        <w:tc>
          <w:tcPr>
            <w:tcW w:w="3859" w:type="dxa"/>
            <w:gridSpan w:val="3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F60E7" w:rsidRPr="001F60E7" w:rsidTr="001F60E7">
        <w:tc>
          <w:tcPr>
            <w:tcW w:w="675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4)</w:t>
            </w:r>
          </w:p>
        </w:tc>
        <w:tc>
          <w:tcPr>
            <w:tcW w:w="2268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Rok produkcji</w:t>
            </w:r>
          </w:p>
        </w:tc>
        <w:tc>
          <w:tcPr>
            <w:tcW w:w="2410" w:type="dxa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20</w:t>
            </w:r>
            <w:r w:rsidRPr="001F60E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r</w:t>
            </w:r>
          </w:p>
        </w:tc>
        <w:tc>
          <w:tcPr>
            <w:tcW w:w="3859" w:type="dxa"/>
            <w:gridSpan w:val="3"/>
            <w:shd w:val="clear" w:color="auto" w:fill="auto"/>
          </w:tcPr>
          <w:p w:rsidR="001F60E7" w:rsidRPr="001F60E7" w:rsidRDefault="001F60E7" w:rsidP="001F60E7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F60E7" w:rsidRPr="001F60E7" w:rsidRDefault="001F60E7" w:rsidP="001F60E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1F60E7" w:rsidRPr="001F60E7" w:rsidRDefault="001F60E7" w:rsidP="001F60E7">
      <w:pPr>
        <w:widowControl/>
        <w:suppressAutoHyphens/>
        <w:spacing w:line="360" w:lineRule="auto"/>
        <w:ind w:right="320" w:firstLine="708"/>
        <w:rPr>
          <w:rFonts w:ascii="Calibri" w:eastAsia="Times New Roman" w:hAnsi="Calibri" w:cs="Times New Roman"/>
          <w:b/>
          <w:bCs/>
          <w:color w:val="0000FF"/>
          <w:sz w:val="32"/>
          <w:szCs w:val="36"/>
          <w:lang w:eastAsia="en-US" w:bidi="ar-SA"/>
        </w:rPr>
      </w:pPr>
      <w:r w:rsidRPr="001F60E7">
        <w:rPr>
          <w:rFonts w:ascii="Calibri" w:eastAsia="Times New Roman" w:hAnsi="Calibri" w:cs="Times New Roman"/>
          <w:b/>
          <w:bCs/>
          <w:color w:val="0000FF"/>
          <w:sz w:val="32"/>
          <w:szCs w:val="36"/>
          <w:lang w:eastAsia="en-US" w:bidi="ar-SA"/>
        </w:rPr>
        <w:t xml:space="preserve">FORMULARZ PARAMETRÓW TECHNICZNO -UŻYTKOWYCH </w:t>
      </w:r>
    </w:p>
    <w:p w:rsidR="00DB70F3" w:rsidRPr="001F60E7" w:rsidRDefault="00DB70F3" w:rsidP="001F60E7">
      <w:pPr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717B1" w:rsidRDefault="00A717B1" w:rsidP="00D1274F">
      <w:pPr>
        <w:spacing w:after="120"/>
        <w:jc w:val="both"/>
        <w:rPr>
          <w:rFonts w:asciiTheme="minorHAnsi" w:hAnsiTheme="minorHAnsi" w:cs="Arial"/>
          <w:b/>
        </w:rPr>
      </w:pPr>
      <w:r w:rsidRPr="00A717B1">
        <w:rPr>
          <w:rFonts w:asciiTheme="minorHAnsi" w:hAnsiTheme="minorHAnsi" w:cs="Arial"/>
          <w:b/>
        </w:rPr>
        <w:t>Opis przedmiotu zamówienia</w:t>
      </w:r>
    </w:p>
    <w:p w:rsidR="00A717B1" w:rsidRDefault="00A717B1" w:rsidP="00A717B1">
      <w:pPr>
        <w:spacing w:after="120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zamówienia </w:t>
      </w:r>
      <w:r w:rsidR="00BA077D">
        <w:rPr>
          <w:rFonts w:asciiTheme="minorHAnsi" w:hAnsiTheme="minorHAnsi" w:cs="Arial"/>
        </w:rPr>
        <w:t xml:space="preserve">jest </w:t>
      </w:r>
      <w:r w:rsidR="003D01BD">
        <w:rPr>
          <w:rFonts w:asciiTheme="minorHAnsi" w:hAnsiTheme="minorHAnsi" w:cs="Arial"/>
        </w:rPr>
        <w:t xml:space="preserve">wdrożenie oprogramowania do usługi </w:t>
      </w:r>
      <w:proofErr w:type="spellStart"/>
      <w:r w:rsidR="003D01BD">
        <w:rPr>
          <w:rFonts w:asciiTheme="minorHAnsi" w:hAnsiTheme="minorHAnsi" w:cs="Arial"/>
        </w:rPr>
        <w:t>teleopieki</w:t>
      </w:r>
      <w:proofErr w:type="spellEnd"/>
      <w:r w:rsidR="003D01BD">
        <w:rPr>
          <w:rFonts w:asciiTheme="minorHAnsi" w:hAnsiTheme="minorHAnsi" w:cs="Arial"/>
        </w:rPr>
        <w:t xml:space="preserve"> wraz z urządzeniami dla uczestników projektu pn. „CUŚ DOBREGO!” dofinansowanego ze środków Unii Europejskiej z Europejskiego Funduszu Społecznego w ramach Regionalnego Programu Operacyjnego Województwa Łódzkiego na lata 2014 –</w:t>
      </w:r>
      <w:r w:rsidR="0063090B">
        <w:rPr>
          <w:rFonts w:asciiTheme="minorHAnsi" w:hAnsiTheme="minorHAnsi" w:cs="Arial"/>
        </w:rPr>
        <w:t xml:space="preserve"> 2020</w:t>
      </w:r>
      <w:r w:rsidR="00D619D0">
        <w:rPr>
          <w:rFonts w:asciiTheme="minorHAnsi" w:hAnsiTheme="minorHAnsi" w:cs="Arial"/>
        </w:rPr>
        <w:t xml:space="preserve">. </w:t>
      </w:r>
    </w:p>
    <w:p w:rsidR="0063090B" w:rsidRDefault="0063090B" w:rsidP="00A717B1">
      <w:pPr>
        <w:spacing w:after="120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ramach zamówienia należy dostarczyć:</w:t>
      </w:r>
    </w:p>
    <w:p w:rsidR="0063090B" w:rsidRPr="0063090B" w:rsidRDefault="00C435A8" w:rsidP="0063090B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Serwer</w:t>
      </w:r>
      <w:r w:rsidR="0063090B" w:rsidRPr="0063090B">
        <w:rPr>
          <w:rFonts w:asciiTheme="minorHAnsi" w:hAnsiTheme="minorHAnsi" w:cs="Arial"/>
          <w:b/>
        </w:rPr>
        <w:t xml:space="preserve">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2"/>
        <w:gridCol w:w="2310"/>
        <w:gridCol w:w="3241"/>
        <w:gridCol w:w="3241"/>
      </w:tblGrid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1F60E7" w:rsidRDefault="001F60E7" w:rsidP="006309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1F60E7" w:rsidRDefault="001F60E7" w:rsidP="006309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hAnsiTheme="minorHAnsi" w:cstheme="minorHAnsi"/>
                <w:sz w:val="22"/>
                <w:szCs w:val="22"/>
              </w:rPr>
              <w:t xml:space="preserve">Serwer typu </w:t>
            </w:r>
            <w:proofErr w:type="spellStart"/>
            <w:r w:rsidRPr="0063090B"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 w:rsidRPr="006309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Serwer będzie wykorzystywany dla potrzeb serwerowych, do prowadzenia systemu 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teleopieki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połączenia do 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internetu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, wykonywania funkcji bazodan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owej, wyposażony w dostosowane oprogramowanie operacyjne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Serwer musi być wyposażony w dwa procesory co najmniej 16-rdzeniowe </w:t>
            </w: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32-wątkowe taktowane częstotliwością bazową co najmniej 2.3 GHz. </w:t>
            </w: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Wydajność procesora spełniająca kryterium </w:t>
            </w: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PassMark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Average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CPU Mark) &gt;= 22117 wg klasyfikacji CPU Benchmark dostępnej pod adresem: </w:t>
            </w:r>
            <w:hyperlink r:id="rId8" w:history="1">
              <w:r w:rsidRPr="0063090B">
                <w:rPr>
                  <w:rStyle w:val="Hipercze"/>
                  <w:rFonts w:asciiTheme="minorHAnsi" w:eastAsia="Calibri" w:hAnsiTheme="minorHAnsi" w:cstheme="minorHAnsi"/>
                  <w:sz w:val="22"/>
                  <w:szCs w:val="22"/>
                </w:rPr>
                <w:t>https://www.cpubenchmark.net</w:t>
              </w:r>
            </w:hyperlink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Min. 96GB </w:t>
            </w:r>
            <w:r w:rsidRPr="0063090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8F8F8"/>
              </w:rPr>
              <w:t>DDR4 2666/2933/3200MHz </w:t>
            </w:r>
            <w:hyperlink r:id="rId9" w:anchor="loadme_4997" w:tooltip="RDIMM" w:history="1">
              <w:r w:rsidRPr="0063090B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shd w:val="clear" w:color="auto" w:fill="F8F8F8"/>
                </w:rPr>
                <w:t>RDIMM</w:t>
              </w:r>
            </w:hyperlink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, z możliwością rozbudowy</w:t>
            </w:r>
          </w:p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Min. 12 gniazd pamięci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Parametry pamięci masowej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 x Min. SSD 1TB SATA III, 2 x min. 1.2TB SAS 12G 10k rpm 3,5" Hot-Plug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Kontroler dysków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color w:val="00B050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SAS / SATA 12G EP420 z min. 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Raid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0,1,10,5,50,6 + 2GB cache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Karta sieciowa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Min. 4x 1Gbit/s Ethernet RJ45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28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Obudowa typu RACK z min. 2 zasilacze 450W (1+1) Hot Plug zapewniające odpowiednią moc do zaproponowanego zestawu. Z możliwością zainstalowania wszystkich komponentów wymienionych w zestawie.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6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BIOS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  BIOS zgodny ze specyfikacją UEFI</w:t>
            </w:r>
          </w:p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Dostępna funkcja „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Restore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on AC/Power 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Locc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”/”</w:t>
            </w:r>
            <w:proofErr w:type="spellStart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AfterPowelLoss</w:t>
            </w:r>
            <w:proofErr w:type="spellEnd"/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” (możliwość włączenia – automatycznego uruchomienia serwera po jego wyłączeniu)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rPr>
          <w:trHeight w:val="31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widowControl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Spełniający wymagania oprogramowania aplikacyjnego.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Gwarancja i wsparcie techniczne producenta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Minimum 3-letnia gwarancja producenta.</w:t>
            </w:r>
          </w:p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Ogólnopolska, telefoniczna infolinia/linia techniczna producenta serwera,   dostępna w czasie obowiązywania gwarancji na sprzęt i umożliwiająca po podaniu numeru seryjnego </w:t>
            </w: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urządzenia:</w:t>
            </w:r>
          </w:p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 weryfikację konfiguracji fabrycznej wraz z wersją fabrycznie dostarczonego oprogramowania (system operacyjny, szczegółowa konfiguracja sprzętowa  - CPU, HDD, pamięć)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F60E7" w:rsidRPr="0063090B" w:rsidTr="001F60E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 13.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Wymagania dodatkowe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Karta Zdalnego zarządzania z 1-port 1Gbps RJ45</w:t>
            </w:r>
          </w:p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Min. 5 x USB 3.0 (2 z przodu, 2 z tyłu, 1 w środku) dla jednostek podstawowych z maks. liczbą dysków: 1x USB 2.0, tylko przód</w:t>
            </w:r>
          </w:p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- 2 x VGA (opcjonalnie 1 gniazdo z przodu)</w:t>
            </w:r>
          </w:p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090B">
              <w:rPr>
                <w:rFonts w:asciiTheme="minorHAnsi" w:eastAsia="Calibri" w:hAnsiTheme="minorHAnsi" w:cstheme="minorHAnsi"/>
                <w:sz w:val="22"/>
                <w:szCs w:val="22"/>
              </w:rPr>
              <w:t>- Komplet okablowania do instalacji serwera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63090B" w:rsidRDefault="001F60E7" w:rsidP="0063090B">
            <w:pPr>
              <w:spacing w:after="12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3090B" w:rsidRDefault="0063090B" w:rsidP="0063090B">
      <w:pPr>
        <w:pStyle w:val="Akapitzlist"/>
        <w:spacing w:line="259" w:lineRule="auto"/>
        <w:ind w:left="717"/>
        <w:rPr>
          <w:rStyle w:val="Nagwek3Znak"/>
          <w:rFonts w:cstheme="majorHAnsi"/>
          <w:b/>
          <w:bCs/>
          <w:color w:val="auto"/>
          <w:szCs w:val="20"/>
          <w:u w:val="single"/>
        </w:rPr>
      </w:pPr>
    </w:p>
    <w:p w:rsidR="0063090B" w:rsidRDefault="0063090B" w:rsidP="0063090B">
      <w:pPr>
        <w:pStyle w:val="Akapitzlist"/>
        <w:numPr>
          <w:ilvl w:val="0"/>
          <w:numId w:val="25"/>
        </w:num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3D0D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Urządzenie dla uczestnika projektu do świadczenia usługi </w:t>
      </w:r>
      <w:proofErr w:type="spellStart"/>
      <w:r w:rsidRPr="00393D0D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teleopieki</w:t>
      </w:r>
      <w:proofErr w:type="spellEnd"/>
      <w:r w:rsidRPr="00393D0D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220 sztuk</w:t>
      </w:r>
    </w:p>
    <w:p w:rsidR="00393D0D" w:rsidRPr="00393D0D" w:rsidRDefault="00393D0D" w:rsidP="007806B8">
      <w:pPr>
        <w:pStyle w:val="Akapitzlist"/>
        <w:spacing w:line="259" w:lineRule="auto"/>
        <w:ind w:left="717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487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"/>
        <w:gridCol w:w="2526"/>
        <w:gridCol w:w="2997"/>
        <w:gridCol w:w="2995"/>
      </w:tblGrid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Dwustronna komunikacja głosowa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BA077D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ożliwość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połączenia bezpośrednio z urządzenia z pracownikiem centrum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teleopieki</w:t>
            </w:r>
            <w:proofErr w:type="spellEnd"/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pomocą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jednego przycisku 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Możliwość zadzwonienia na urządzenie. Wykorzystanie w urządzeniu modemu komunikacji minimum GSM/GPRS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lub innego dającego funkcję komunikacji.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BA077D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Pomiar tętna i saturacji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omiar tętna i saturacji z urządzenia przesyłany do telecentrum. Możliwość skonfigurowania minimalnej i maksymalnej wartości tętna, w przypadku której następuje alarm w telecentrum.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Pomiar temperatury skóry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omiar temperatury z urządzenia przesyłany do telecentrum.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Detekcja omdleń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unkcja wyzwalana automatycznie w sytuacji upadku użytkownika urządzenia . Urządzenie 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powinna wysyłać automatycznie powiadomienie alarmowe do opiekuna, na aplikację i platformę, wraz z linkiem </w:t>
            </w:r>
            <w:proofErr w:type="spellStart"/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geolokalizacyjnym</w:t>
            </w:r>
            <w:proofErr w:type="spellEnd"/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inicjować połączenie głosowe. Możliwość ustawienia czułości detekcji upadków z poziomu telecentrum 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Przycisk SOS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AC2993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Funkcja szybkiego wezwania pomocy poprzez wysłanie przez urządzenie alertu wraz z określeniem obszaru  w jakim znajduje się użytkownik opaski 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AC2993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Lokalizacja użytkownika opaski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BA077D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momencie wysłania sygnału SOS  automatycznie jest przekazywana informacja o lokalizacji. W celu maksymalizacji prawdopodobieństwa uzyskan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 dokładnej lokalizacji, urządzenie powinno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wykorzystywać technologie umożliwiające taką lokalizację przez pracownika centrum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Możliwość 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zlokalizowania użytkownika w dowolnym momencie przez automatyczne wygenerowania funkcjonalności.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BA077D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Komunikaty głosowe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żytkownik urządzenia powinien otrzymywać komunikaty głosowe o: uruchomieniu urządzenia, rozładowaniu  poniżej 15%, konieczności ładowania, wysłaniu komunikatu SOS, wysłaniu komunikatu o Up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adku oraz inne komunikaty w tym zainicjowane przez pracownika centrum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Pomiar aktywności fizycznej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k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rokomierz zlicza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jący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przebyte kroki przez użytkownika i przesyła wyniki do telecentrum.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Sposób ładowania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Ładowanie urządzenia poprzez załączoną w zestawie ładowarkę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BA077D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Produkcja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wyprodukowane na terenie Unii Europejskiej.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Częstotliwość ładowania akumulatora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częściej niż co 2 dni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Czas ładowania opaski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 całkowicie wyczerpanej energii nie dłużej niż 2 godziny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 wodoodporności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IP65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Ułatwienia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dostosowane do potrzeb osób ni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ewidomych i słabo widzących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możliwość  dostosowana głośności do osób słabiej słyszących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Oznaczanie urządzenia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Każda opaska musi być identyfikowalna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Elementy zestawu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Zestaw powinien zawierać ładowarkę i oryginalną instrukcję obsługi w języku polskim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A6215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Karta SIM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 inny rodzaj zapewnienia stałej łączności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Konieczność wbudowanej karty SIM, bez możliwości ingerencji użytkownika w wymiany i wyjęcie karty SIM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tym samym nieświadome zakłócenie procesu świadczenia usług. Wykonawca zapewni karty SIM  umożliwiające w pełni działanie opasek bez konieczności ponoszenia dodatkowych kosztów przez Zamawiającego przez okres co najmniej 3 lat. Wykonawca dostosuje odbiór sygnału na możliwie najsilniejszym sygnale, uwzględniając zasięg sieci GSM na danym obszarze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Jeżeli Wykonawca nie zastosuje rozwiązania z wykorzystaniem karty SIM, musi wykazać że zastosowane rozwiązanie jest nie gorsze niż powyżej opisane i daje możliwość stałego kontaktu z uczestnikiem projektu przy pomocy urządzenia do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teleopieki</w:t>
            </w:r>
            <w:proofErr w:type="spellEnd"/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Głośnik i Mikrofon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Wbudowany, zakryty głośnik i 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mikrofon uniemożliwiający zabrudzenie i zalanie elementów.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noszenia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musi być przeznaczone do noszenia blisko ciała, w sposób nie zaburzający ruchów i umożliwiający jak najbardziej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dokładne pomiary funkcji życiowych opisanych wyżej.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Monitoring poziomu naładowania baterii.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Obligatoryjny komunikat dla użytkownika o stanie zużycia baterii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 najmniej poniżej 15 %.</w:t>
            </w:r>
            <w:r w:rsidRPr="00C435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C435A8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C435A8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Urządzenie wykonane z materiałów przeznaczonych do kontaktu ze skórą.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23.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Dostawa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Default="001F60E7" w:rsidP="007806B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Urządzenie skonfigurowane w ilości 200 szt. zostanie dostarczone do Zamawiającego w ciągu 30 dni od podpisania umowy, a 20 szt. urządzeń będzie odbierane jako urządzenie zapasowe na wypadek utracenia/ uszkodzenia urządzenia przez uczestnika projektu, a uszkodzenie będzie wykraczało po za gwarancyjną naprawę. Dostawa urządzenia zapasowego przez Wykonawcę nastąpi w ciągu 2 dni roboczych od chwili zgłoszenia takiego zapotrzebowania przez Zamawiającego. Koszt dostawy jest po stronie Wykonawcy. Wszystkie zapasowe urządzenia muszą być dostarczone do 30.06.2023 r. 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7806B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60E7" w:rsidRPr="00C435A8" w:rsidTr="001F60E7">
        <w:tc>
          <w:tcPr>
            <w:tcW w:w="2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63090B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</w:t>
            </w:r>
          </w:p>
        </w:tc>
        <w:tc>
          <w:tcPr>
            <w:tcW w:w="14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Gwarancja </w:t>
            </w:r>
          </w:p>
        </w:tc>
        <w:tc>
          <w:tcPr>
            <w:tcW w:w="16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Default="001F60E7" w:rsidP="007806B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Gwarancja producenta min. 3 lata od chwili dostawy</w:t>
            </w:r>
          </w:p>
        </w:tc>
        <w:tc>
          <w:tcPr>
            <w:tcW w:w="16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7806B8">
            <w:pPr>
              <w:pStyle w:val="Zawartotabeli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F60E7" w:rsidRDefault="001F60E7" w:rsidP="001F60E7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50321" w:rsidRDefault="00AD159C" w:rsidP="001F60E7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F60E7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Do oferty należy dołączyć zdjęcia poglądowe urządzenia .</w:t>
      </w:r>
    </w:p>
    <w:p w:rsidR="001F60E7" w:rsidRDefault="001F60E7" w:rsidP="001F60E7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F60E7" w:rsidRDefault="001F60E7" w:rsidP="001F60E7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F60E7" w:rsidRPr="001F60E7" w:rsidRDefault="001F60E7" w:rsidP="001F60E7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D159C" w:rsidRDefault="00AD159C" w:rsidP="00850321">
      <w:pPr>
        <w:pStyle w:val="Akapitzlist"/>
        <w:spacing w:line="259" w:lineRule="auto"/>
        <w:ind w:left="717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23890" w:rsidRDefault="00823890" w:rsidP="00823890">
      <w:pPr>
        <w:pStyle w:val="Akapitzlist"/>
        <w:numPr>
          <w:ilvl w:val="0"/>
          <w:numId w:val="25"/>
        </w:num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Zestaw komputerowy dla pracowników centrum </w:t>
      </w:r>
      <w:proofErr w:type="spellStart"/>
      <w:r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teleopieki</w:t>
      </w:r>
      <w:proofErr w:type="spellEnd"/>
      <w:r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2 szt. </w:t>
      </w:r>
    </w:p>
    <w:p w:rsidR="00850321" w:rsidRDefault="00850321" w:rsidP="00850321">
      <w:pPr>
        <w:pStyle w:val="Akapitzlist"/>
        <w:spacing w:line="259" w:lineRule="auto"/>
        <w:ind w:left="717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48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3"/>
        <w:gridCol w:w="2560"/>
        <w:gridCol w:w="2957"/>
        <w:gridCol w:w="2957"/>
      </w:tblGrid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Przeznaczenie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850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Zestawy komputerowe będą wykorzystywane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 dla potrzeb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pracowników centrum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prowadzenia monitoringu uczestników projektu. Komputery muszą zaopatrzone w funkcje, które umożliwiają zainstalowanie i prawidłowe funkcjonowanie oprogramowania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jako lokalna baza danych, stacja programistyczna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Ponad to komputery muszą być dostosowane do obsługi 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aplikacji biurowych, dostępu do Inte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rnetu oraz poczty elektronicznej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. Wymagane jest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 nazwę producenta, typ, model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 oraz numer katalogowy oferowanego sprzętu umożliwiający jednoznaczną identyfikację oferowanej konfiguracji. Wymagany zestaw to zestaw </w:t>
            </w:r>
            <w:proofErr w:type="spellStart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-in-one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Komputery nowe nie używane wcześniej.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Default="001F60E7" w:rsidP="008503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Ekran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Wyświetlacz 23,8’’ FHD IPS dotykowy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Obudowa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-in-one (podzespoły komputerowe umieszczone w jednej obudowie)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Chipset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Dostosowany do zaoferowanego procesora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Umożliwiająca poprawne działanie wszystkich komponentów zestawu.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Procesor co najmniej czterordzeniowy ośmiowątkowy z częstotliwością bazową co najmniej 1 GHz, osiągający w teście </w:t>
            </w:r>
            <w:proofErr w:type="spellStart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 CPU Mark wynik min. 7,994 punktów według wyników ze strony https://www.cpubenchmark.n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et/cpu_list.php  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Min. 8 GB pamięci operacyjnej RAM (DDR4 2400 MHz)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Dysk SSD – min. 120 GB M.2 oraz HDD 1TB. Zestaw powinien zawierać partycję RECOVERY umożliwiającą odtworzenie systemu operacyjnego fabrycznie zainstalowanego na komputerze po awarii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Zintegrowana karta graficzna </w:t>
            </w:r>
            <w:r w:rsidRPr="0082389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Audio/Video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- Wbudowana kamera HD 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 Wbudowany mikrofon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Karta sieciowa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- 10/100/1000 – RJ 45 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6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Porty/złącza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co najmniej 1xUSB (typu C)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-co najmniej 2xUSB,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złącze słuchawek i złącze mikrofonu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- 1xHDMI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RJ-45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czytnik kart multimedialnych (min SD/SDHC/SDXC).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Klawiatura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Klawiatura w układzie polski programisty. Klawiatura z wydzielonym blokiem numerycznym.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Mysz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Standardowa mysz komputerowa z podłączeniem USB do komputera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Bezpieczeństwo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Zintegrowany system zabezpieczeń (TPM)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Gwarancja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Minimum 3-letnia gwarancja producenta, czas reakcji serwisu - do końca następnego dnia roboczego. W przypadku braku możliwości naprawy na miejscu dopuszcza się naprawę w serwisie zewnętrznym. Gwarancja musi oferować przez cały okres :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usługi serwisowe świadczone w miejscu instalacji urządzenia oraz możliwość szybkiego </w:t>
            </w: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zgłaszania usterek przez portal internetowy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23890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Dedykowany numer oraz adres email dla wsparcia technicznego i informacji produktowej.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 xml:space="preserve">- możliwość weryfikacji na stronie producenta konfiguracji fabrycznej zakupionego sprzętu 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możliwość weryfikacji na stronie producenta posiadanej/wykupionej gwarancji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możliwość weryfikacji statusu naprawy urządzenia po podaniu unikalnego numeru seryjnego</w:t>
            </w:r>
          </w:p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3890">
              <w:rPr>
                <w:rFonts w:asciiTheme="minorHAnsi" w:hAnsiTheme="minorHAnsi" w:cstheme="minorHAnsi"/>
                <w:sz w:val="22"/>
                <w:szCs w:val="22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BA07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50321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50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7" w:rsidRPr="00850321" w:rsidRDefault="001F60E7" w:rsidP="00850321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System operacyjny w wersji 64 bitowej musi być przypisany do komputera, musi być w polskiej wersji językowej, musi być zainstalowany w zaoferowanym komputerze przez jego producenta, klucz licencyjny musi być zapisany trwale w BIOS i umożliwiać instalację systemu operacyjnego z dysku (partycja 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recovery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) bez potrzeby ręcznego wpisywania klucza licencyjnego; oferowany system przy 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reinstalacji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, nie może wymagać aktywacji klucza licencyjnego za pośrednictwem telefonu i Internetu.</w:t>
            </w:r>
          </w:p>
          <w:p w:rsidR="001F60E7" w:rsidRPr="00850321" w:rsidRDefault="001F60E7" w:rsidP="0085032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Okres licencjonowania dożywotni.</w:t>
            </w:r>
          </w:p>
          <w:p w:rsidR="001F60E7" w:rsidRPr="00850321" w:rsidRDefault="001F60E7" w:rsidP="00850321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Zamawiający wymaga aby </w:t>
            </w: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system operacyjny zaoferowanego komputera był fabrycznie nowy, nieużywany oraz nieaktywowany nigdy wcześniej na innym urządzeniu - </w:t>
            </w:r>
            <w:r w:rsidRPr="0085032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 dopuszcza się licencji  pochodzących z rynku wtórnego</w:t>
            </w: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</w:p>
          <w:p w:rsidR="001F60E7" w:rsidRPr="00850321" w:rsidRDefault="001F60E7" w:rsidP="00850321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Zamawiający wymaga aby dostarczone oprogramowanie posiadało stosowne atrybuty legalności, na przykład było z tzw. naklejkami GML (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Genuine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Microsoft 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Label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) lub naklejkami COA (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Certificate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Authenticity</w:t>
            </w:r>
            <w:proofErr w:type="spellEnd"/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) stosowanymi przez producenta sprzętu lub inną formą uwiarygodnienia oryginalności wymaganą przez producenta oprogramowania. </w:t>
            </w:r>
            <w:r w:rsidRPr="0085032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Zamawiający na każdym etapie realizacji niniejszego zamówienia, zastrzega sobie prawo sprawdzenia, czy dostarczony sprzęt posiada oryginalne i legalne oprogramowanie</w:t>
            </w:r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1F60E7" w:rsidRPr="00850321" w:rsidRDefault="001F60E7" w:rsidP="00850321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Zainstalowany system operacyjny 64-bit, który posiada wbudowane mechanizmy, bez użycia dodatkowych aplikacji (bez jakichkolwiek emulatorów, implementacji lub programów towarzyszących), zapewniające: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42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 dokonywania  aktualizacji i poprawek  systemu przez Internet z możliwością wyboru instalowanych poprawek.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Możliwość dokonywania uaktualnień sterowników  urządzeń przez Internet - </w:t>
            </w: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witrynę producenta systemu.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Darmowe aktualizacje w ramach wersji systemu operacyjnego przez Internet (niezbędne aktualizacje, poprawki, biuletyny bezpieczeństwa muszą być dostarczane bez  dodatkowych opłat).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Internetowa aktualizacja zapewniona w języku polskim.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Wbudowana  zapora  internetowa  (firewall) dla ochrony połączeń internetowych; zintegrowana z systemem konsola do zarządzania ustawieniami zapory i regułami IPv4 i IPv6.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Wsparcie  dla  większości  powszechnie używanych urządzeń peryferyjnych (drukarek, urządzeń sieciowych, standardów USB, </w:t>
            </w:r>
            <w:proofErr w:type="spellStart"/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Plug&amp;Play</w:t>
            </w:r>
            <w:proofErr w:type="spellEnd"/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Wi-Fi).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Funkcjonalność automatycznej zmiany domyślnej drukarki w zależności od sieci, do której podłączony jest komputer.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Interfejs użytkownika działający w trybie graficznym z elementami 3D, zintegrowana  z interfejsem użytkownika interaktywna część pulpitu służącą do uruchamiania aplikacji, które użytkownik może dowolnie wymieniać i pobrać ze strony producenta.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Zabezpieczony hasłem </w:t>
            </w: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hierarchiczny dostęp do systemu, konta i profile użytkowników zarządzane zdalnie; praca systemu w trybie ochrony kont użytkowników.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Certyfikat  (dokument)  producenta  oprogramowania  potwierdzający  poprawność  pracy systemu operacyjnego z dostarczanym sprzętem (dostarczyć na wezwanie Zamawiającego).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Wsparcie dla Sun Java i .NET Framework 1.1, 2.0, 3.0 i 4.0 – możliwość uruchomienia aplikacji działających we wskazanych środowiskach.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Wsparcie dla JScript i </w:t>
            </w:r>
            <w:proofErr w:type="spellStart"/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VBScript</w:t>
            </w:r>
            <w:proofErr w:type="spellEnd"/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możliwość uruchamiania interpretera poleceń.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Zdalna pomoc i współdzielenie aplikacji – możliwość  zdalnego przejęcia sesji zalogowanego użytkownika celem rozwiązania problemu z komputerem.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Graficzne środowisko instalacji i konfiguracji.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Możliwość przywracania plików systemowych. </w:t>
            </w:r>
          </w:p>
          <w:p w:rsidR="001F60E7" w:rsidRPr="00850321" w:rsidRDefault="001F60E7" w:rsidP="00850321">
            <w:pPr>
              <w:widowControl/>
              <w:numPr>
                <w:ilvl w:val="0"/>
                <w:numId w:val="31"/>
              </w:numPr>
              <w:suppressAutoHyphens/>
              <w:spacing w:line="259" w:lineRule="auto"/>
              <w:ind w:left="316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Możliwość blokowania lub dopuszczania dowolnych </w:t>
            </w:r>
            <w:r w:rsidRPr="00850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urządzeń peryferyjnych za pomocą polityk grupowych (np. przy użyciu numerów identyfikacyjnych sprzętu). </w:t>
            </w:r>
          </w:p>
          <w:p w:rsidR="001F60E7" w:rsidRPr="00850321" w:rsidRDefault="001F60E7" w:rsidP="00850321">
            <w:pPr>
              <w:suppressAutoHyphens/>
              <w:spacing w:line="259" w:lineRule="auto"/>
              <w:ind w:left="3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50321" w:rsidRDefault="001F60E7" w:rsidP="00850321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50321">
            <w:pPr>
              <w:pStyle w:val="Akapitzlist"/>
              <w:widowControl/>
              <w:numPr>
                <w:ilvl w:val="0"/>
                <w:numId w:val="30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Default="001F60E7" w:rsidP="00850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Instalacja systemu operacyjnego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7" w:rsidRPr="007B037B" w:rsidRDefault="001F60E7" w:rsidP="00815D80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B037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Oprogramowanie systemowe musi być po uruchomieniu komputera gotowe do użycia. </w:t>
            </w:r>
            <w:r w:rsidRPr="007B037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7B037B" w:rsidRDefault="001F60E7" w:rsidP="00815D80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823890" w:rsidRDefault="001F60E7" w:rsidP="00815D80">
            <w:pPr>
              <w:pStyle w:val="Akapitzlist"/>
              <w:widowControl/>
              <w:spacing w:after="160" w:line="259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Default="001F60E7" w:rsidP="00850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E7" w:rsidRPr="007B037B" w:rsidRDefault="001F60E7" w:rsidP="00815D80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7" w:rsidRPr="007B037B" w:rsidRDefault="001F60E7" w:rsidP="00815D80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:rsidR="00823890" w:rsidRDefault="00823890" w:rsidP="00823890">
      <w:pPr>
        <w:pStyle w:val="Akapitzlist"/>
        <w:spacing w:line="259" w:lineRule="auto"/>
        <w:ind w:left="717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435A8" w:rsidRPr="000C3D6C" w:rsidRDefault="006935D3" w:rsidP="00823890">
      <w:pPr>
        <w:pStyle w:val="Akapitzlist"/>
        <w:numPr>
          <w:ilvl w:val="0"/>
          <w:numId w:val="25"/>
        </w:num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3D6C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Oprogramowanie</w:t>
      </w:r>
      <w:r w:rsidR="0020422B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</w:t>
      </w:r>
      <w:r w:rsidR="00C435A8" w:rsidRPr="000C3D6C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serwer</w:t>
      </w:r>
      <w:r w:rsidR="0020422B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0C3D6C" w:rsidRPr="000C3D6C" w:rsidRDefault="000C3D6C" w:rsidP="000C3D6C">
      <w:pPr>
        <w:pStyle w:val="Akapitzlist"/>
        <w:spacing w:line="259" w:lineRule="auto"/>
        <w:ind w:left="717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89"/>
        <w:gridCol w:w="2911"/>
        <w:gridCol w:w="2911"/>
      </w:tblGrid>
      <w:tr w:rsidR="001F60E7" w:rsidRPr="000C3D6C" w:rsidTr="0050647C">
        <w:tc>
          <w:tcPr>
            <w:tcW w:w="562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89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11" w:type="dxa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911" w:type="dxa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0C3D6C" w:rsidTr="0050647C">
        <w:tc>
          <w:tcPr>
            <w:tcW w:w="562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589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Licencja 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Wykonawca udzieli Zamawiającemu licencji na oprogramowanie do obsługi </w:t>
            </w:r>
            <w:proofErr w:type="spellStart"/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teleopieki</w:t>
            </w:r>
            <w:proofErr w:type="spellEnd"/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a wszystkie dane z systemu będą gromadzone bezpiecznie na serwerze</w:t>
            </w:r>
            <w:r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Serwer musi być wyposażony w oprogramowanie operacyjne umożliwiające instalację i funkcjonowanie oprogramowania do </w:t>
            </w:r>
            <w:proofErr w:type="spellStart"/>
            <w:r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teleopieki</w:t>
            </w:r>
            <w:proofErr w:type="spellEnd"/>
            <w:r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 gromadzenie wszystkich danych.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F60E7" w:rsidRPr="000C3D6C" w:rsidTr="0050647C">
        <w:tc>
          <w:tcPr>
            <w:tcW w:w="562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589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Gromadzenie danych 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Serwer musi gromadzić takie dane jakie są dostępne w oprogramowaniu dedykowanym dla usługi </w:t>
            </w:r>
            <w:proofErr w:type="spellStart"/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teleopieki</w:t>
            </w:r>
            <w:proofErr w:type="spellEnd"/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System gromadzenia danych musi być zabezpieczony przed niekontrolowanym wyciekiem tych danych. 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F60E7" w:rsidRPr="000C3D6C" w:rsidTr="0050647C">
        <w:tc>
          <w:tcPr>
            <w:tcW w:w="562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589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Gwarancja i serwis 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Zapewniony serwis i gwarancja przez okres 3 lat od dnia uruchomienia.</w:t>
            </w:r>
          </w:p>
        </w:tc>
        <w:tc>
          <w:tcPr>
            <w:tcW w:w="2911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F60E7" w:rsidRPr="000C3D6C" w:rsidTr="0050647C">
        <w:tc>
          <w:tcPr>
            <w:tcW w:w="562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589" w:type="dxa"/>
          </w:tcPr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Inne usługi </w:t>
            </w:r>
          </w:p>
        </w:tc>
        <w:tc>
          <w:tcPr>
            <w:tcW w:w="2911" w:type="dxa"/>
          </w:tcPr>
          <w:p w:rsidR="001F60E7" w:rsidRPr="000C3D6C" w:rsidRDefault="001F60E7" w:rsidP="000C3D6C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C3D6C"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Wykonawca przeszkoli pracowników Zamawiającego z funkcjonowania serwera i oprogramowania zainstalowanego na serwerze. </w:t>
            </w:r>
          </w:p>
          <w:p w:rsidR="001F60E7" w:rsidRPr="000C3D6C" w:rsidRDefault="001F60E7" w:rsidP="00C435A8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11" w:type="dxa"/>
          </w:tcPr>
          <w:p w:rsidR="001F60E7" w:rsidRPr="000C3D6C" w:rsidRDefault="001F60E7" w:rsidP="000C3D6C">
            <w:pPr>
              <w:spacing w:line="259" w:lineRule="auto"/>
              <w:rPr>
                <w:rStyle w:val="Nagwek3Zna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C435A8" w:rsidRPr="00C435A8" w:rsidRDefault="00C435A8" w:rsidP="00C435A8">
      <w:p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Cs w:val="20"/>
          <w:u w:val="single"/>
        </w:rPr>
      </w:pPr>
    </w:p>
    <w:p w:rsidR="00823890" w:rsidRPr="007B037B" w:rsidRDefault="007B037B" w:rsidP="00823890">
      <w:pPr>
        <w:pStyle w:val="Akapitzlist"/>
        <w:numPr>
          <w:ilvl w:val="0"/>
          <w:numId w:val="25"/>
        </w:numPr>
        <w:spacing w:line="259" w:lineRule="auto"/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B037B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Oprogramowanie do </w:t>
      </w:r>
      <w:proofErr w:type="spellStart"/>
      <w:r w:rsidRPr="007B037B">
        <w:rPr>
          <w:rStyle w:val="Nagwek3Znak"/>
          <w:rFonts w:asciiTheme="minorHAnsi" w:hAnsiTheme="minorHAnsi" w:cstheme="minorHAnsi"/>
          <w:b/>
          <w:bCs/>
          <w:color w:val="auto"/>
          <w:sz w:val="22"/>
          <w:szCs w:val="22"/>
        </w:rPr>
        <w:t>teleopieki</w:t>
      </w:r>
      <w:proofErr w:type="spellEnd"/>
    </w:p>
    <w:p w:rsidR="00C435A8" w:rsidRPr="00823890" w:rsidRDefault="00075D47" w:rsidP="00823890">
      <w:pPr>
        <w:spacing w:line="259" w:lineRule="auto"/>
        <w:rPr>
          <w:rStyle w:val="Nagwek3Znak"/>
          <w:rFonts w:asciiTheme="minorHAnsi" w:hAnsiTheme="minorHAnsi" w:cstheme="minorHAnsi"/>
          <w:bCs/>
          <w:color w:val="auto"/>
          <w:sz w:val="22"/>
          <w:szCs w:val="22"/>
        </w:rPr>
      </w:pPr>
      <w:r w:rsidRPr="00823890">
        <w:rPr>
          <w:rStyle w:val="Nagwek3Znak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935D3" w:rsidRPr="00823890">
        <w:rPr>
          <w:rStyle w:val="Nagwek3Znak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1762"/>
        <w:gridCol w:w="3496"/>
        <w:gridCol w:w="3494"/>
      </w:tblGrid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systemu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Konieczność zainstalowania systemu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obsługi urządzeń na serwerze. Oprogramowanie działa na serwerze, dwóch komputerach obsługiwanych w centrum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na 200 urządzeniach dla uczestników projektu i w całości stanowi spójny system do świadczenia usług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Aktywowanie urządzeń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aktywowania urządzenia dla użytkownika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 w systemie w dowolnym momencie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815D8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Zapewnienie łączności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Działanie opaski w oparciu o kartę SIM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lub inne rozwiązanie dające możliwość komunikacji i rejestrowania parametrów zmierzonych u użytkownika oraz wykorzystanie systemu lokalizacji dla urządzenia.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815D80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BA077D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BA077D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Użytkownicy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Dodawanie nowego użytkownika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urządzenia do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poprzez wprowadzenie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dotyczących</w:t>
            </w: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Nazwisko i imię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60E7" w:rsidRDefault="001F60E7" w:rsidP="00BA077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Pesel, data urodzenia</w:t>
            </w:r>
          </w:p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telefon 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 stanu zdrowia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Kontakt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rodziną lub osobą z najbliższego otoczenia</w:t>
            </w:r>
          </w:p>
          <w:p w:rsidR="001F60E7" w:rsidRPr="00815D80" w:rsidRDefault="001F60E7" w:rsidP="00187BB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BA077D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Rejestry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Rejestr zgłoszeń alarmowych- SOS,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</w:t>
            </w:r>
            <w:r w:rsidRPr="00815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rejestr pomiarów funkcji życiowych: tętno, saturacja, temperatura skóry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Funkcjonalności oprogramowania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C435A8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sz w:val="22"/>
                <w:szCs w:val="22"/>
              </w:rPr>
              <w:t xml:space="preserve">Oprogramowanie ma co najmniej </w:t>
            </w: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funkcjonalności 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Harmonogram czasu pracy personelu; ,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Tworzenie i dostęp do </w:t>
            </w: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 xml:space="preserve">raportów nt. ilości zgłoszeń SOS, Upadków, 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Wgląd w historie zdarzeń alarmowych oraz podjętych działań;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Całodobowy dostęp do analizy i historii danych gromadzonych na platformie: pomiary tętna,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saturacja,  temperatura skóry</w:t>
            </w: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Możliwość druku raportów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Monitoring sprawności urządzenia</w:t>
            </w:r>
          </w:p>
          <w:p w:rsidR="001F60E7" w:rsidRPr="00815D80" w:rsidRDefault="001F60E7" w:rsidP="00F51532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Sygnalizacja stanu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urządzenia: </w:t>
            </w: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zdjęcia opaski, siła sygnał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u.</w:t>
            </w:r>
          </w:p>
          <w:p w:rsidR="001F60E7" w:rsidRPr="00815D80" w:rsidRDefault="001F60E7" w:rsidP="00C435A8">
            <w:pPr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15D8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Możliwość konfiguracji konta personelu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Pr="00815D80" w:rsidRDefault="001F60E7" w:rsidP="00C435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Konfiguracja z innymi programami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Pr="00815D80" w:rsidRDefault="001F60E7" w:rsidP="001F7CC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Możliwość konfiguracji oprogramowania z oprogramowaniem medycznym używanym przez Zamawiającego, dające możliwość identyfikacji użytkownika urządzenia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teleopieki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podczas np. przyjęcia i leczenia w szpitalu, przychodni i poradni. 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1F7CC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1F60E7" w:rsidRPr="0079789F" w:rsidTr="001F60E7">
        <w:tc>
          <w:tcPr>
            <w:tcW w:w="22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8. </w:t>
            </w:r>
          </w:p>
        </w:tc>
        <w:tc>
          <w:tcPr>
            <w:tcW w:w="9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Inne usługi </w:t>
            </w:r>
          </w:p>
        </w:tc>
        <w:tc>
          <w:tcPr>
            <w:tcW w:w="190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Wykonawca zapewni szkolenie z obsługi oprogramowania dla pracowników wskazanych przez Zamawiającego oraz opiekę konsultanta w zakresie obsługi oprogramowania i rozwiązywania problemów z funkcjonowaniem oprogramowania przez okres od dnia dostawy i instalacji oprogramowania do 30.06.2023 roku.  </w:t>
            </w:r>
          </w:p>
        </w:tc>
        <w:tc>
          <w:tcPr>
            <w:tcW w:w="190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60E7" w:rsidRDefault="001F60E7" w:rsidP="00F51532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:rsidR="001F7CCA" w:rsidRDefault="001F7CCA" w:rsidP="001F7CCA">
      <w:pPr>
        <w:pStyle w:val="Akapitzlist"/>
        <w:spacing w:after="120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:rsidR="0063090B" w:rsidRPr="001F7CCA" w:rsidRDefault="001F7CCA" w:rsidP="001F7CCA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CCA">
        <w:rPr>
          <w:rFonts w:asciiTheme="minorHAnsi" w:hAnsiTheme="minorHAnsi" w:cstheme="minorHAnsi"/>
          <w:b/>
          <w:sz w:val="22"/>
          <w:szCs w:val="22"/>
        </w:rPr>
        <w:t xml:space="preserve">Urządzenie wielofunkcyjne do drukowania  – 1 szt. </w:t>
      </w:r>
    </w:p>
    <w:p w:rsidR="001F7CCA" w:rsidRDefault="001F7CCA" w:rsidP="001F7CCA">
      <w:pPr>
        <w:pStyle w:val="Akapitzlist"/>
        <w:spacing w:after="120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286"/>
        <w:gridCol w:w="3019"/>
        <w:gridCol w:w="3019"/>
      </w:tblGrid>
      <w:tr w:rsidR="001F60E7" w:rsidRPr="004F00B8" w:rsidTr="001F60E7">
        <w:tc>
          <w:tcPr>
            <w:tcW w:w="269" w:type="pct"/>
          </w:tcPr>
          <w:p w:rsidR="001F60E7" w:rsidRDefault="001F60E7" w:rsidP="002775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pct"/>
            <w:vAlign w:val="center"/>
          </w:tcPr>
          <w:p w:rsidR="001F60E7" w:rsidRPr="001F7CCA" w:rsidRDefault="001F60E7" w:rsidP="001F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pct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1716" w:type="pct"/>
          </w:tcPr>
          <w:p w:rsidR="001F60E7" w:rsidRPr="001F60E7" w:rsidRDefault="001F60E7" w:rsidP="00EF32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60E7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1F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Laserowe urządzenie wielofunkcyjne (funkcjonalność wszystkich urządzeń w jednym urządzeniu fizycznym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drukarka, kopiarka,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scaner</w:t>
            </w:r>
            <w:proofErr w:type="spellEnd"/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); technologia kopiowania oraz drukowania </w:t>
            </w:r>
            <w:r w:rsidRPr="001F7C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laserowa, format oryginałów co najmniej A4, A5. W</w:t>
            </w:r>
            <w:proofErr w:type="spellStart"/>
            <w:r w:rsidRPr="001F7CCA">
              <w:rPr>
                <w:rFonts w:asciiTheme="minorHAnsi" w:hAnsiTheme="minorHAnsi" w:cstheme="minorHAnsi"/>
                <w:spacing w:val="2"/>
                <w:position w:val="2"/>
                <w:sz w:val="22"/>
                <w:szCs w:val="22"/>
              </w:rPr>
              <w:t>ymagane</w:t>
            </w:r>
            <w:proofErr w:type="spellEnd"/>
            <w:r w:rsidRPr="001F7CCA">
              <w:rPr>
                <w:rFonts w:asciiTheme="minorHAnsi" w:hAnsiTheme="minorHAnsi" w:cstheme="minorHAnsi"/>
                <w:spacing w:val="2"/>
                <w:position w:val="2"/>
                <w:sz w:val="22"/>
                <w:szCs w:val="22"/>
              </w:rPr>
              <w:t xml:space="preserve"> jest podanie parametrów zaoferowanego urządzenia wielofunkcyjnego. 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Laserowa, kolorowa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Prędkość drukowania w czerni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Minimum 20 stron na minutę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Rozdzielczość druku w czerni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600 x 600 minimum 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9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Normatywny miesięczny cykl pracy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40 000 stron A4  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Podajnik 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Automatyczny  podajnik dokumentów</w:t>
            </w:r>
          </w:p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Rozdzielczość Skanowania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Co najmniej 1200 x 1200 </w:t>
            </w:r>
            <w:proofErr w:type="spellStart"/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Szybkość skanowania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Nie wolniej niż 4 sek.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Panel sterowania 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Kolorowy ekran  z dotykiem o przekątnej nie  więcej niż 25 cm 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Porty komunikacji 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Minimum  1 port </w:t>
            </w:r>
            <w:proofErr w:type="spellStart"/>
            <w:r w:rsidRPr="001F7C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hosta</w:t>
            </w:r>
            <w:proofErr w:type="spellEnd"/>
            <w:r w:rsidRPr="001F7C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USB2.0 ,1 Port Gigabit Ethernet, </w:t>
            </w:r>
            <w:proofErr w:type="spellStart"/>
            <w:r w:rsidRPr="001F7C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F60E7" w:rsidRPr="004F00B8" w:rsidTr="001F60E7"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Wyposażenie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Zestaw musi zawierać komplet tonerów (fabrycznie nowych, nieużywanych), kabel USB oraz kabel zasilający</w:t>
            </w:r>
          </w:p>
        </w:tc>
        <w:tc>
          <w:tcPr>
            <w:tcW w:w="1716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0E7" w:rsidRPr="004F00B8" w:rsidTr="001F60E7">
        <w:trPr>
          <w:trHeight w:val="290"/>
        </w:trPr>
        <w:tc>
          <w:tcPr>
            <w:tcW w:w="269" w:type="pct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99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1716" w:type="pct"/>
            <w:vAlign w:val="center"/>
          </w:tcPr>
          <w:p w:rsidR="001F60E7" w:rsidRPr="001F7CCA" w:rsidRDefault="001F60E7" w:rsidP="002775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na okres  co najmniej 3 lat od dnia dostawy;</w:t>
            </w:r>
            <w:r w:rsidRPr="001F7C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CCA">
              <w:rPr>
                <w:rFonts w:asciiTheme="minorHAnsi" w:hAnsiTheme="minorHAnsi" w:cstheme="minorHAnsi"/>
                <w:bCs/>
                <w:sz w:val="22"/>
                <w:szCs w:val="22"/>
              </w:rPr>
              <w:t>serw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w miejscu instalacji sprzętu; </w:t>
            </w:r>
            <w:r w:rsidRPr="001F7C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czas reakcji serwisu do końca następnego dnia roboczego. Wykonawca dostarczy urzą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dzenie z gwarancja Producenta -</w:t>
            </w:r>
            <w:r w:rsidRPr="001F7C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Wykonawca na wezwanie Zamawiającego załączy oświadczenie Producenta lub autoryzowanego serwisu o przeprowadzeniu  przeglądów w okresie gwarancji.</w:t>
            </w:r>
          </w:p>
          <w:p w:rsidR="001F60E7" w:rsidRPr="001F7CCA" w:rsidRDefault="001F60E7" w:rsidP="002775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6" w:type="pct"/>
          </w:tcPr>
          <w:p w:rsidR="001F60E7" w:rsidRDefault="001F60E7" w:rsidP="0027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CCA" w:rsidRDefault="001F7CCA" w:rsidP="001F7CC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768DE" w:rsidRDefault="00B768DE" w:rsidP="001F7CC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768DE" w:rsidRDefault="00B768DE" w:rsidP="001F7CC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768DE" w:rsidRPr="00B768DE" w:rsidRDefault="00B768DE" w:rsidP="00B768DE">
      <w:pPr>
        <w:widowControl/>
        <w:suppressAutoHyphens/>
        <w:ind w:right="197"/>
        <w:jc w:val="right"/>
        <w:rPr>
          <w:rFonts w:ascii="Calibri" w:eastAsia="Times New Roman" w:hAnsi="Calibri" w:cs="Calibri"/>
          <w:color w:val="auto"/>
          <w:sz w:val="18"/>
          <w:szCs w:val="20"/>
          <w:lang w:eastAsia="en-US" w:bidi="ar-SA"/>
        </w:rPr>
      </w:pPr>
      <w:r w:rsidRPr="00B768DE">
        <w:rPr>
          <w:rFonts w:ascii="Calibri" w:eastAsia="Times New Roman" w:hAnsi="Calibri" w:cs="Calibri"/>
          <w:color w:val="auto"/>
          <w:sz w:val="22"/>
          <w:szCs w:val="20"/>
          <w:lang w:eastAsia="en-US" w:bidi="ar-SA"/>
        </w:rPr>
        <w:t>.......................................................</w:t>
      </w:r>
    </w:p>
    <w:p w:rsidR="00B768DE" w:rsidRPr="00B768DE" w:rsidRDefault="00B768DE" w:rsidP="00B768DE">
      <w:pPr>
        <w:widowControl/>
        <w:suppressAutoHyphens/>
        <w:ind w:right="197"/>
        <w:jc w:val="right"/>
        <w:rPr>
          <w:rFonts w:ascii="Calibri" w:eastAsia="Times New Roman" w:hAnsi="Calibri" w:cs="Times New Roman"/>
          <w:color w:val="auto"/>
          <w:sz w:val="16"/>
          <w:szCs w:val="20"/>
          <w:lang w:eastAsia="en-US" w:bidi="ar-SA"/>
        </w:rPr>
      </w:pPr>
      <w:r w:rsidRPr="00B768DE">
        <w:rPr>
          <w:rFonts w:ascii="Calibri" w:eastAsia="Times New Roman" w:hAnsi="Calibri" w:cs="Calibri"/>
          <w:color w:val="auto"/>
          <w:sz w:val="18"/>
          <w:szCs w:val="20"/>
          <w:lang w:eastAsia="en-US" w:bidi="ar-SA"/>
        </w:rPr>
        <w:t>/ Nazwa Wykonawcy, miejscowość, data</w:t>
      </w:r>
      <w:bookmarkStart w:id="0" w:name="_GoBack"/>
      <w:bookmarkEnd w:id="0"/>
    </w:p>
    <w:sectPr w:rsidR="00B768DE" w:rsidRPr="00B76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3" w:rsidRDefault="00660AA3" w:rsidP="003D01BD">
      <w:r>
        <w:separator/>
      </w:r>
    </w:p>
  </w:endnote>
  <w:endnote w:type="continuationSeparator" w:id="0">
    <w:p w:rsidR="00660AA3" w:rsidRDefault="00660AA3" w:rsidP="003D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3" w:rsidRDefault="00660AA3" w:rsidP="003D01BD">
      <w:r>
        <w:separator/>
      </w:r>
    </w:p>
  </w:footnote>
  <w:footnote w:type="continuationSeparator" w:id="0">
    <w:p w:rsidR="00660AA3" w:rsidRDefault="00660AA3" w:rsidP="003D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D" w:rsidRDefault="00BA077D" w:rsidP="003D01BD">
    <w:pPr>
      <w:widowControl/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18"/>
        <w:szCs w:val="18"/>
        <w:lang w:eastAsia="en-US" w:bidi="ar-SA"/>
      </w:rPr>
    </w:pPr>
    <w:r>
      <w:rPr>
        <w:rFonts w:asciiTheme="minorHAnsi" w:eastAsiaTheme="minorHAnsi" w:hAnsiTheme="minorHAnsi" w:cstheme="minorBidi"/>
        <w:noProof/>
        <w:color w:val="auto"/>
        <w:sz w:val="18"/>
        <w:szCs w:val="18"/>
        <w:lang w:bidi="ar-SA"/>
      </w:rPr>
      <w:drawing>
        <wp:anchor distT="0" distB="0" distL="114935" distR="114935" simplePos="0" relativeHeight="251658240" behindDoc="0" locked="0" layoutInCell="1" allowOverlap="1" wp14:anchorId="5B0C2BD9" wp14:editId="7CFB07C8">
          <wp:simplePos x="0" y="0"/>
          <wp:positionH relativeFrom="column">
            <wp:posOffset>24765</wp:posOffset>
          </wp:positionH>
          <wp:positionV relativeFrom="paragraph">
            <wp:posOffset>-382270</wp:posOffset>
          </wp:positionV>
          <wp:extent cx="4913630" cy="65024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77D" w:rsidRDefault="00BA077D" w:rsidP="003D01BD">
    <w:pPr>
      <w:widowControl/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18"/>
        <w:szCs w:val="18"/>
        <w:lang w:eastAsia="en-US" w:bidi="ar-SA"/>
      </w:rPr>
    </w:pPr>
  </w:p>
  <w:p w:rsidR="00BA077D" w:rsidRDefault="00BA077D" w:rsidP="003D01BD">
    <w:pPr>
      <w:widowControl/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18"/>
        <w:szCs w:val="18"/>
        <w:lang w:eastAsia="en-US" w:bidi="ar-SA"/>
      </w:rPr>
    </w:pPr>
  </w:p>
  <w:p w:rsidR="00BA077D" w:rsidRPr="003D01BD" w:rsidRDefault="00BA077D" w:rsidP="003D01BD">
    <w:pPr>
      <w:widowControl/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18"/>
        <w:szCs w:val="18"/>
        <w:lang w:eastAsia="en-US" w:bidi="ar-SA"/>
      </w:rPr>
    </w:pPr>
    <w:r w:rsidRPr="003D01BD">
      <w:rPr>
        <w:rFonts w:asciiTheme="minorHAnsi" w:eastAsiaTheme="minorHAnsi" w:hAnsiTheme="minorHAnsi" w:cstheme="minorBidi"/>
        <w:color w:val="auto"/>
        <w:sz w:val="18"/>
        <w:szCs w:val="18"/>
        <w:lang w:eastAsia="en-US" w:bidi="ar-SA"/>
      </w:rPr>
      <w:t>Projekt nr RPLD.09.02.01-10-A014/19 pn. „CUŚ DOBREGO!”   współfinansowany ze środków Europejskiego Funduszu Społecznego w ramach Regionalnego Programu Operacyjnego Województwa Łódzkiego  na lata 2014-2020</w:t>
    </w:r>
  </w:p>
  <w:p w:rsidR="00BA077D" w:rsidRDefault="00BA0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CD"/>
    <w:multiLevelType w:val="hybridMultilevel"/>
    <w:tmpl w:val="27A09FAA"/>
    <w:lvl w:ilvl="0" w:tplc="8B0CAC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F07DCD"/>
    <w:multiLevelType w:val="hybridMultilevel"/>
    <w:tmpl w:val="56440146"/>
    <w:lvl w:ilvl="0" w:tplc="2FDEE1A6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13E"/>
    <w:multiLevelType w:val="hybridMultilevel"/>
    <w:tmpl w:val="2E4A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140C"/>
    <w:multiLevelType w:val="hybridMultilevel"/>
    <w:tmpl w:val="AE6E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BA3"/>
    <w:multiLevelType w:val="hybridMultilevel"/>
    <w:tmpl w:val="543C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18A3"/>
    <w:multiLevelType w:val="multilevel"/>
    <w:tmpl w:val="DF54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8B7428"/>
    <w:multiLevelType w:val="multilevel"/>
    <w:tmpl w:val="A5E034E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7">
    <w:nsid w:val="24866896"/>
    <w:multiLevelType w:val="hybridMultilevel"/>
    <w:tmpl w:val="D1AC69E4"/>
    <w:lvl w:ilvl="0" w:tplc="0270BC6A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F3387"/>
    <w:multiLevelType w:val="multilevel"/>
    <w:tmpl w:val="2DFC6F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>
    <w:nsid w:val="39CC75E0"/>
    <w:multiLevelType w:val="hybridMultilevel"/>
    <w:tmpl w:val="AB48861E"/>
    <w:lvl w:ilvl="0" w:tplc="15FE32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A4127"/>
    <w:multiLevelType w:val="hybridMultilevel"/>
    <w:tmpl w:val="5F4A1662"/>
    <w:lvl w:ilvl="0" w:tplc="E8EE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796"/>
    <w:multiLevelType w:val="multilevel"/>
    <w:tmpl w:val="CEEEF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FE56AF"/>
    <w:multiLevelType w:val="hybridMultilevel"/>
    <w:tmpl w:val="82D6A9D6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632BC"/>
    <w:multiLevelType w:val="multilevel"/>
    <w:tmpl w:val="16CE1AC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19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35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  <w:i w:val="0"/>
      </w:rPr>
    </w:lvl>
  </w:abstractNum>
  <w:abstractNum w:abstractNumId="14">
    <w:nsid w:val="49DA7B83"/>
    <w:multiLevelType w:val="hybridMultilevel"/>
    <w:tmpl w:val="4DE6F280"/>
    <w:lvl w:ilvl="0" w:tplc="212ACB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4E77701F"/>
    <w:multiLevelType w:val="multilevel"/>
    <w:tmpl w:val="1D720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i w:val="0"/>
      </w:rPr>
    </w:lvl>
  </w:abstractNum>
  <w:abstractNum w:abstractNumId="16">
    <w:nsid w:val="4F10581C"/>
    <w:multiLevelType w:val="hybridMultilevel"/>
    <w:tmpl w:val="6EFC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85B1C"/>
    <w:multiLevelType w:val="hybridMultilevel"/>
    <w:tmpl w:val="30D6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53D45"/>
    <w:multiLevelType w:val="hybridMultilevel"/>
    <w:tmpl w:val="7E3EB8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2B878F6"/>
    <w:multiLevelType w:val="hybridMultilevel"/>
    <w:tmpl w:val="9A423F12"/>
    <w:lvl w:ilvl="0" w:tplc="295C37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66860E4"/>
    <w:multiLevelType w:val="multilevel"/>
    <w:tmpl w:val="C630C1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i w:val="0"/>
      </w:rPr>
    </w:lvl>
  </w:abstractNum>
  <w:abstractNum w:abstractNumId="21">
    <w:nsid w:val="6AAC1057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C4261E0"/>
    <w:multiLevelType w:val="hybridMultilevel"/>
    <w:tmpl w:val="F5067364"/>
    <w:lvl w:ilvl="0" w:tplc="2766EF6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72A31F6E"/>
    <w:multiLevelType w:val="hybridMultilevel"/>
    <w:tmpl w:val="190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360B3"/>
    <w:multiLevelType w:val="hybridMultilevel"/>
    <w:tmpl w:val="53D457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65A0F"/>
    <w:multiLevelType w:val="hybridMultilevel"/>
    <w:tmpl w:val="3DA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81EEE"/>
    <w:multiLevelType w:val="hybridMultilevel"/>
    <w:tmpl w:val="241E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B57"/>
    <w:multiLevelType w:val="hybridMultilevel"/>
    <w:tmpl w:val="113EF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24C30"/>
    <w:multiLevelType w:val="hybridMultilevel"/>
    <w:tmpl w:val="C69A8120"/>
    <w:lvl w:ilvl="0" w:tplc="212ACB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7B82753A"/>
    <w:multiLevelType w:val="hybridMultilevel"/>
    <w:tmpl w:val="412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C11"/>
    <w:multiLevelType w:val="hybridMultilevel"/>
    <w:tmpl w:val="92B496AC"/>
    <w:lvl w:ilvl="0" w:tplc="537E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8"/>
  </w:num>
  <w:num w:numId="5">
    <w:abstractNumId w:val="25"/>
  </w:num>
  <w:num w:numId="6">
    <w:abstractNumId w:val="29"/>
  </w:num>
  <w:num w:numId="7">
    <w:abstractNumId w:val="6"/>
  </w:num>
  <w:num w:numId="8">
    <w:abstractNumId w:val="9"/>
  </w:num>
  <w:num w:numId="9">
    <w:abstractNumId w:val="21"/>
  </w:num>
  <w:num w:numId="10">
    <w:abstractNumId w:val="4"/>
  </w:num>
  <w:num w:numId="11">
    <w:abstractNumId w:val="15"/>
  </w:num>
  <w:num w:numId="12">
    <w:abstractNumId w:val="20"/>
  </w:num>
  <w:num w:numId="13">
    <w:abstractNumId w:val="13"/>
  </w:num>
  <w:num w:numId="14">
    <w:abstractNumId w:val="1"/>
  </w:num>
  <w:num w:numId="15">
    <w:abstractNumId w:val="7"/>
  </w:num>
  <w:num w:numId="16">
    <w:abstractNumId w:val="19"/>
  </w:num>
  <w:num w:numId="17">
    <w:abstractNumId w:val="5"/>
  </w:num>
  <w:num w:numId="18">
    <w:abstractNumId w:val="28"/>
  </w:num>
  <w:num w:numId="19">
    <w:abstractNumId w:val="14"/>
  </w:num>
  <w:num w:numId="20">
    <w:abstractNumId w:val="0"/>
  </w:num>
  <w:num w:numId="21">
    <w:abstractNumId w:val="2"/>
  </w:num>
  <w:num w:numId="22">
    <w:abstractNumId w:val="3"/>
  </w:num>
  <w:num w:numId="23">
    <w:abstractNumId w:val="17"/>
  </w:num>
  <w:num w:numId="24">
    <w:abstractNumId w:val="16"/>
  </w:num>
  <w:num w:numId="25">
    <w:abstractNumId w:val="30"/>
  </w:num>
  <w:num w:numId="26">
    <w:abstractNumId w:val="12"/>
  </w:num>
  <w:num w:numId="27">
    <w:abstractNumId w:val="26"/>
  </w:num>
  <w:num w:numId="28">
    <w:abstractNumId w:val="27"/>
  </w:num>
  <w:num w:numId="29">
    <w:abstractNumId w:val="24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A"/>
    <w:rsid w:val="00001D7D"/>
    <w:rsid w:val="0006428A"/>
    <w:rsid w:val="00065B39"/>
    <w:rsid w:val="00075D47"/>
    <w:rsid w:val="0008215B"/>
    <w:rsid w:val="000C3D6C"/>
    <w:rsid w:val="001020ED"/>
    <w:rsid w:val="001337A4"/>
    <w:rsid w:val="00187BB5"/>
    <w:rsid w:val="001C48BC"/>
    <w:rsid w:val="001C766B"/>
    <w:rsid w:val="001D0B16"/>
    <w:rsid w:val="001F4B4B"/>
    <w:rsid w:val="001F60E7"/>
    <w:rsid w:val="001F7CCA"/>
    <w:rsid w:val="0020422B"/>
    <w:rsid w:val="00221E91"/>
    <w:rsid w:val="002405F0"/>
    <w:rsid w:val="00275772"/>
    <w:rsid w:val="00275ADC"/>
    <w:rsid w:val="00290A22"/>
    <w:rsid w:val="002F57A1"/>
    <w:rsid w:val="0032012B"/>
    <w:rsid w:val="00343525"/>
    <w:rsid w:val="00393D0D"/>
    <w:rsid w:val="003A7797"/>
    <w:rsid w:val="003B49B8"/>
    <w:rsid w:val="003C0903"/>
    <w:rsid w:val="003D01BD"/>
    <w:rsid w:val="00411BED"/>
    <w:rsid w:val="00417902"/>
    <w:rsid w:val="00437E1B"/>
    <w:rsid w:val="00462EA6"/>
    <w:rsid w:val="00486F50"/>
    <w:rsid w:val="0049015E"/>
    <w:rsid w:val="004B37BC"/>
    <w:rsid w:val="004B74AA"/>
    <w:rsid w:val="004E1F8D"/>
    <w:rsid w:val="00511FBE"/>
    <w:rsid w:val="00580BC1"/>
    <w:rsid w:val="005829D3"/>
    <w:rsid w:val="00594B11"/>
    <w:rsid w:val="005B26E5"/>
    <w:rsid w:val="005D6260"/>
    <w:rsid w:val="0063090B"/>
    <w:rsid w:val="0064311E"/>
    <w:rsid w:val="00660AA3"/>
    <w:rsid w:val="00667844"/>
    <w:rsid w:val="00672365"/>
    <w:rsid w:val="006935D3"/>
    <w:rsid w:val="00701EBB"/>
    <w:rsid w:val="0072593D"/>
    <w:rsid w:val="007806B8"/>
    <w:rsid w:val="007B037B"/>
    <w:rsid w:val="0081245E"/>
    <w:rsid w:val="00815D80"/>
    <w:rsid w:val="00823890"/>
    <w:rsid w:val="0084491B"/>
    <w:rsid w:val="00850321"/>
    <w:rsid w:val="00892B43"/>
    <w:rsid w:val="008B01C8"/>
    <w:rsid w:val="008E4CA4"/>
    <w:rsid w:val="00990FA1"/>
    <w:rsid w:val="009B6E90"/>
    <w:rsid w:val="009D012C"/>
    <w:rsid w:val="009F31CB"/>
    <w:rsid w:val="00A169B2"/>
    <w:rsid w:val="00A4231B"/>
    <w:rsid w:val="00A52B49"/>
    <w:rsid w:val="00A717B1"/>
    <w:rsid w:val="00A86A7A"/>
    <w:rsid w:val="00AC2993"/>
    <w:rsid w:val="00AC3008"/>
    <w:rsid w:val="00AD159C"/>
    <w:rsid w:val="00AE0C13"/>
    <w:rsid w:val="00B22B8F"/>
    <w:rsid w:val="00B54CC0"/>
    <w:rsid w:val="00B768DE"/>
    <w:rsid w:val="00BA077D"/>
    <w:rsid w:val="00BA6FDF"/>
    <w:rsid w:val="00C435A8"/>
    <w:rsid w:val="00C649DB"/>
    <w:rsid w:val="00CA2E34"/>
    <w:rsid w:val="00CA6215"/>
    <w:rsid w:val="00CC4066"/>
    <w:rsid w:val="00CD2EB7"/>
    <w:rsid w:val="00D1274F"/>
    <w:rsid w:val="00D12928"/>
    <w:rsid w:val="00D25B26"/>
    <w:rsid w:val="00D619D0"/>
    <w:rsid w:val="00D62274"/>
    <w:rsid w:val="00D928A8"/>
    <w:rsid w:val="00DB40D4"/>
    <w:rsid w:val="00DB70F3"/>
    <w:rsid w:val="00E8498D"/>
    <w:rsid w:val="00E8585C"/>
    <w:rsid w:val="00F00D3E"/>
    <w:rsid w:val="00F21C48"/>
    <w:rsid w:val="00F51532"/>
    <w:rsid w:val="00F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70F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90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0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7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E34"/>
    <w:pPr>
      <w:widowControl/>
      <w:ind w:left="317" w:hanging="340"/>
      <w:jc w:val="center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E3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34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1C8"/>
    <w:pPr>
      <w:widowControl w:val="0"/>
      <w:ind w:left="0" w:firstLine="0"/>
      <w:jc w:val="left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1C8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486F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86F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6F5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486F5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Default">
    <w:name w:val="Default"/>
    <w:rsid w:val="003C09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57A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1B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B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90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paragraph" w:customStyle="1" w:styleId="Zawartotabeli">
    <w:name w:val="Zawartość tabeli"/>
    <w:basedOn w:val="Normalny"/>
    <w:qFormat/>
    <w:rsid w:val="0063090B"/>
    <w:pPr>
      <w:widowControl/>
      <w:suppressLineNumbers/>
      <w:suppressAutoHyphens/>
    </w:pPr>
    <w:rPr>
      <w:rFonts w:ascii="Times New Roman" w:eastAsia="Times New Roman" w:hAnsi="Times New Roman" w:cs="Times New Roman"/>
      <w:color w:val="00000A"/>
      <w:lang w:eastAsia="zh-CN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8238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70F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90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0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7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E34"/>
    <w:pPr>
      <w:widowControl/>
      <w:ind w:left="317" w:hanging="340"/>
      <w:jc w:val="center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E3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E34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1C8"/>
    <w:pPr>
      <w:widowControl w:val="0"/>
      <w:ind w:left="0" w:firstLine="0"/>
      <w:jc w:val="left"/>
    </w:pPr>
    <w:rPr>
      <w:rFonts w:ascii="Courier New" w:eastAsia="Courier New" w:hAnsi="Courier New" w:cs="Courier New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1C8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486F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86F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6F5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486F5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Default">
    <w:name w:val="Default"/>
    <w:rsid w:val="003C09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57A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0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1B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B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90B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paragraph" w:customStyle="1" w:styleId="Zawartotabeli">
    <w:name w:val="Zawartość tabeli"/>
    <w:basedOn w:val="Normalny"/>
    <w:qFormat/>
    <w:rsid w:val="0063090B"/>
    <w:pPr>
      <w:widowControl/>
      <w:suppressLineNumbers/>
      <w:suppressAutoHyphens/>
    </w:pPr>
    <w:rPr>
      <w:rFonts w:ascii="Times New Roman" w:eastAsia="Times New Roman" w:hAnsi="Times New Roman" w:cs="Times New Roman"/>
      <w:color w:val="00000A"/>
      <w:lang w:eastAsia="zh-CN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8238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werserver.pl/d10654_serwer_fujitsu_rx2520_m5___16-core_xeon_gold_5218_2.3ghz___32gb_ddr4___4x_lff_3.5___raid5_z_2gb_cache___2x_psu_hot_plug___5_lat_gwarancji_w_miejsu_instalacji_nb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Anna Gulska</cp:lastModifiedBy>
  <cp:revision>5</cp:revision>
  <dcterms:created xsi:type="dcterms:W3CDTF">2020-11-05T22:22:00Z</dcterms:created>
  <dcterms:modified xsi:type="dcterms:W3CDTF">2020-11-29T20:34:00Z</dcterms:modified>
</cp:coreProperties>
</file>